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1665A" w:rsidRDefault="0091665A" w:rsidP="0091665A">
      <w:pPr>
        <w:jc w:val="right"/>
      </w:pPr>
    </w:p>
    <w:p w:rsidR="0091665A" w:rsidRDefault="0091665A" w:rsidP="0091665A">
      <w:pPr>
        <w:jc w:val="right"/>
      </w:pPr>
      <w:r>
        <w:t xml:space="preserve">                        Приложение 3</w:t>
      </w:r>
    </w:p>
    <w:p w:rsidR="0091665A" w:rsidRDefault="0091665A" w:rsidP="0091665A">
      <w:pPr>
        <w:jc w:val="right"/>
      </w:pPr>
      <w:r>
        <w:t xml:space="preserve">                                 к методологии системы оценки </w:t>
      </w:r>
      <w:proofErr w:type="gramStart"/>
      <w:r>
        <w:t>муниципального</w:t>
      </w:r>
      <w:proofErr w:type="gramEnd"/>
      <w:r>
        <w:t xml:space="preserve"> </w:t>
      </w:r>
    </w:p>
    <w:p w:rsidR="0091665A" w:rsidRDefault="0091665A" w:rsidP="0091665A">
      <w:pPr>
        <w:jc w:val="right"/>
      </w:pPr>
      <w:r>
        <w:t xml:space="preserve">                                  механизма управления качеством образования </w:t>
      </w:r>
    </w:p>
    <w:p w:rsidR="0091665A" w:rsidRDefault="0091665A" w:rsidP="0091665A">
      <w:pPr>
        <w:jc w:val="right"/>
      </w:pPr>
      <w:r>
        <w:t xml:space="preserve">                               в Ульчском муниципальном районе </w:t>
      </w:r>
    </w:p>
    <w:p w:rsidR="0091665A" w:rsidRDefault="0091665A" w:rsidP="0091665A">
      <w:pPr>
        <w:jc w:val="right"/>
      </w:pPr>
      <w:r>
        <w:t xml:space="preserve">                                 Хабаровского края</w:t>
      </w:r>
    </w:p>
    <w:p w:rsidR="0091665A" w:rsidRDefault="0091665A" w:rsidP="0091665A">
      <w:pPr>
        <w:jc w:val="both"/>
      </w:pPr>
    </w:p>
    <w:p w:rsidR="0091665A" w:rsidRDefault="0091665A" w:rsidP="0091665A">
      <w:pPr>
        <w:jc w:val="both"/>
      </w:pPr>
    </w:p>
    <w:p w:rsidR="0091665A" w:rsidRDefault="0091665A" w:rsidP="0091665A">
      <w:pPr>
        <w:jc w:val="both"/>
      </w:pPr>
    </w:p>
    <w:p w:rsidR="0091665A" w:rsidRDefault="0091665A" w:rsidP="0091665A">
      <w:pPr>
        <w:jc w:val="both"/>
      </w:pPr>
      <w:bookmarkStart w:id="0" w:name="_GoBack"/>
      <w:r>
        <w:t>Система выявления, поддержки и развития способностей и талантов у детей и молодежи</w:t>
      </w:r>
    </w:p>
    <w:bookmarkEnd w:id="0"/>
    <w:p w:rsidR="0091665A" w:rsidRDefault="0091665A" w:rsidP="0091665A">
      <w:pPr>
        <w:jc w:val="both"/>
      </w:pPr>
      <w:r>
        <w:t>Цель: Организация системы выявления, поддержки и развития способностей и талантов у детей и молодежи</w:t>
      </w:r>
    </w:p>
    <w:p w:rsidR="0091665A" w:rsidRDefault="0091665A" w:rsidP="0091665A">
      <w:pPr>
        <w:jc w:val="both"/>
      </w:pPr>
      <w:r>
        <w:t>Задачи:</w:t>
      </w:r>
    </w:p>
    <w:p w:rsidR="0091665A" w:rsidRDefault="0091665A" w:rsidP="0091665A">
      <w:pPr>
        <w:jc w:val="both"/>
      </w:pPr>
      <w:r>
        <w:t>1. Выявление, поддержка и развитие способностей и талантов у детей и молодежи;</w:t>
      </w:r>
    </w:p>
    <w:p w:rsidR="0091665A" w:rsidRDefault="0091665A" w:rsidP="0091665A">
      <w:pPr>
        <w:jc w:val="both"/>
      </w:pPr>
      <w:r>
        <w:t xml:space="preserve">2. Выявление, поддержка и развитие способностей и талантов </w:t>
      </w:r>
      <w:proofErr w:type="gramStart"/>
      <w:r>
        <w:t>у</w:t>
      </w:r>
      <w:proofErr w:type="gramEnd"/>
      <w:r>
        <w:t xml:space="preserve"> обучающихся с ОВЗ;</w:t>
      </w:r>
    </w:p>
    <w:p w:rsidR="0091665A" w:rsidRDefault="0091665A" w:rsidP="0091665A">
      <w:pPr>
        <w:jc w:val="both"/>
      </w:pPr>
      <w:r>
        <w:t xml:space="preserve">3. Охват </w:t>
      </w:r>
      <w:proofErr w:type="gramStart"/>
      <w:r>
        <w:t>обучающихся</w:t>
      </w:r>
      <w:proofErr w:type="gramEnd"/>
      <w:r>
        <w:t xml:space="preserve"> дополнительным образованием;</w:t>
      </w:r>
    </w:p>
    <w:p w:rsidR="0091665A" w:rsidRDefault="0091665A" w:rsidP="0091665A">
      <w:pPr>
        <w:jc w:val="both"/>
      </w:pPr>
      <w:r>
        <w:t>4. Индивидуализация обучения учащихся;</w:t>
      </w:r>
    </w:p>
    <w:p w:rsidR="0091665A" w:rsidRDefault="0091665A" w:rsidP="0091665A">
      <w:pPr>
        <w:jc w:val="both"/>
      </w:pPr>
      <w:r>
        <w:t>5. Повышение уровня профессиональных компетенций педагогических работников в области выявления, поддержки и развития способностей и талантов у детей и молодежи;</w:t>
      </w:r>
    </w:p>
    <w:p w:rsidR="0091665A" w:rsidRDefault="0091665A" w:rsidP="0091665A">
      <w:pPr>
        <w:jc w:val="both"/>
      </w:pPr>
      <w:r>
        <w:t>6. Осуществление психолого-педагогического сопровождения способных и талантливых детей и молодежи;</w:t>
      </w:r>
    </w:p>
    <w:p w:rsidR="0091665A" w:rsidRDefault="0091665A" w:rsidP="0091665A">
      <w:pPr>
        <w:jc w:val="both"/>
      </w:pPr>
      <w:r>
        <w:t>7. Осуществление межмуниципального, сетевого взаимодействия по вопросам выявления, поддержки и развития способностей и талантов у детей и молодежи, в том числе с профессиональными образовательными организациями и образовательными организациями высшего образования.</w:t>
      </w:r>
    </w:p>
    <w:p w:rsidR="0091665A" w:rsidRDefault="0091665A" w:rsidP="0091665A">
      <w:pPr>
        <w:jc w:val="both"/>
      </w:pPr>
      <w:r>
        <w:t>Показатели:</w:t>
      </w:r>
    </w:p>
    <w:p w:rsidR="0091665A" w:rsidRDefault="0091665A" w:rsidP="0091665A">
      <w:pPr>
        <w:jc w:val="both"/>
      </w:pPr>
      <w:r>
        <w:t>Показатели</w:t>
      </w:r>
      <w:r>
        <w:tab/>
        <w:t>Индикаторы</w:t>
      </w:r>
    </w:p>
    <w:p w:rsidR="0091665A" w:rsidRDefault="0091665A" w:rsidP="0091665A">
      <w:pPr>
        <w:jc w:val="both"/>
      </w:pPr>
      <w:r>
        <w:t>По выявлению, поддержке и развитию способностей и талантов у детей и молодежи</w:t>
      </w:r>
      <w:r>
        <w:tab/>
        <w:t>Доля образовательных организаций, реализующих программы по выявлению и развитию способностей и талантов у детей и молодежи</w:t>
      </w:r>
    </w:p>
    <w:p w:rsidR="0091665A" w:rsidRDefault="0091665A" w:rsidP="0091665A">
      <w:pPr>
        <w:jc w:val="both"/>
      </w:pPr>
      <w:r>
        <w:tab/>
        <w:t>Количество премий, стипендий для поддержки одаренных детей и талантливой молодежи в муниципальном районе</w:t>
      </w:r>
    </w:p>
    <w:p w:rsidR="0091665A" w:rsidRDefault="0091665A" w:rsidP="0091665A">
      <w:pPr>
        <w:jc w:val="both"/>
      </w:pPr>
      <w:r>
        <w:tab/>
      </w:r>
      <w:proofErr w:type="gramStart"/>
      <w:r>
        <w:t>Доля обучающихся, включенных в муниципальных банк одаренных детей</w:t>
      </w:r>
      <w:proofErr w:type="gramEnd"/>
    </w:p>
    <w:p w:rsidR="0091665A" w:rsidRDefault="0091665A" w:rsidP="0091665A">
      <w:pPr>
        <w:jc w:val="both"/>
      </w:pPr>
      <w:r>
        <w:tab/>
      </w:r>
      <w:proofErr w:type="gramStart"/>
      <w:r>
        <w:t>Доля обучающихся, включенных в государственный информационный ресурс о детях, проявивших выдающиеся способности</w:t>
      </w:r>
      <w:proofErr w:type="gramEnd"/>
    </w:p>
    <w:p w:rsidR="0091665A" w:rsidRDefault="0091665A" w:rsidP="0091665A">
      <w:pPr>
        <w:jc w:val="both"/>
      </w:pPr>
      <w:r>
        <w:tab/>
        <w:t>Количество профильных смен для талантливых детей на базе лагерей с дневным пребыванием на территории Ульчского муниципального района</w:t>
      </w:r>
    </w:p>
    <w:p w:rsidR="0091665A" w:rsidRDefault="0091665A" w:rsidP="0091665A">
      <w:pPr>
        <w:jc w:val="both"/>
      </w:pPr>
      <w:r>
        <w:tab/>
        <w:t>Количество обучающихся, принявших участие в профильных сменах для талантливых детей на базе оздоровительных лагерей, лагерей с дневным пребыванием, образовательных и досуговых центрах и т.д.</w:t>
      </w:r>
    </w:p>
    <w:p w:rsidR="0091665A" w:rsidRDefault="0091665A" w:rsidP="0091665A">
      <w:pPr>
        <w:jc w:val="both"/>
      </w:pPr>
      <w:r>
        <w:lastRenderedPageBreak/>
        <w:t>По выявлению, поддержке и развитию способностей и талантов у обучающихся с ОВЗ</w:t>
      </w:r>
      <w:r>
        <w:tab/>
        <w:t>Доля обучающихся с ОВЗ, охваченных мероприятиями по выявлению, поддержке и развитию способностей и талантов</w:t>
      </w:r>
    </w:p>
    <w:p w:rsidR="0091665A" w:rsidRDefault="0091665A" w:rsidP="0091665A">
      <w:pPr>
        <w:jc w:val="both"/>
      </w:pPr>
      <w:r>
        <w:tab/>
      </w:r>
      <w:proofErr w:type="gramStart"/>
      <w:r>
        <w:t>Доля обучающихся, в том числе с ОВЗ, принявших участие в образовательных сменах</w:t>
      </w:r>
      <w:proofErr w:type="gramEnd"/>
    </w:p>
    <w:p w:rsidR="0091665A" w:rsidRDefault="0091665A" w:rsidP="0091665A">
      <w:pPr>
        <w:jc w:val="both"/>
      </w:pPr>
      <w:r>
        <w:t>По учету участников Всероссийской олимпиады школьников</w:t>
      </w:r>
      <w:r>
        <w:tab/>
        <w:t>Количество участников школьного этапа Всероссийской олимпиады школьников</w:t>
      </w:r>
    </w:p>
    <w:p w:rsidR="0091665A" w:rsidRDefault="0091665A" w:rsidP="0091665A">
      <w:pPr>
        <w:jc w:val="both"/>
      </w:pPr>
      <w:r>
        <w:tab/>
        <w:t>Количество участников муниципального этапа Всероссийской олимпиады школьников</w:t>
      </w:r>
    </w:p>
    <w:p w:rsidR="0091665A" w:rsidRDefault="0091665A" w:rsidP="0091665A">
      <w:pPr>
        <w:jc w:val="both"/>
      </w:pPr>
      <w:r>
        <w:tab/>
        <w:t>Количество участников регионального этапа Всероссийской олимпиады школьников</w:t>
      </w:r>
    </w:p>
    <w:p w:rsidR="0091665A" w:rsidRDefault="0091665A" w:rsidP="0091665A">
      <w:pPr>
        <w:jc w:val="both"/>
      </w:pPr>
      <w:r>
        <w:tab/>
        <w:t>Доля победителей и призеров муниципального этапа Всероссийской олимпиады школьников</w:t>
      </w:r>
    </w:p>
    <w:p w:rsidR="0091665A" w:rsidRDefault="0091665A" w:rsidP="0091665A">
      <w:pPr>
        <w:jc w:val="both"/>
      </w:pPr>
      <w:r>
        <w:tab/>
        <w:t>Доля победителей и призеров регионального этапа Всероссийской олимпиады школьников</w:t>
      </w:r>
    </w:p>
    <w:p w:rsidR="0091665A" w:rsidRDefault="0091665A" w:rsidP="0091665A">
      <w:pPr>
        <w:jc w:val="both"/>
      </w:pPr>
      <w:r>
        <w:t>По учету иных форм развития образовательных достижений школьников (за исключением Всероссийской олимпиады школьников)</w:t>
      </w:r>
      <w:r>
        <w:tab/>
        <w:t>Доля обучающихся, охваченных формами развития достижений школьников в интеллектуальной сфере (из перечня олимпиад и иных интеллектуальных конкурсов, мероприятий, направленных на развитие интеллектуальных способностей, интереса к научной (научно-исследовательской), инженерно-технической, изобретательской деятельности, а также на пропаганду научных знаний)</w:t>
      </w:r>
    </w:p>
    <w:p w:rsidR="0091665A" w:rsidRDefault="0091665A" w:rsidP="0091665A">
      <w:pPr>
        <w:jc w:val="both"/>
      </w:pPr>
      <w:r>
        <w:tab/>
        <w:t xml:space="preserve">Доля обучающихся, охваченных </w:t>
      </w:r>
      <w:proofErr w:type="gramStart"/>
      <w:r>
        <w:t>фор-</w:t>
      </w:r>
      <w:proofErr w:type="spellStart"/>
      <w:r>
        <w:t>мами</w:t>
      </w:r>
      <w:proofErr w:type="spellEnd"/>
      <w:proofErr w:type="gramEnd"/>
      <w:r>
        <w:t xml:space="preserve"> развития достижений школьников в спортивной сфере (из перечня олимпиад и иных конкурсов, мероприятий, направленных на развитие способностей к занятиям физической культурой и спортом, интереса к физкультурно-спортивной деятельности, а также на пропаганду спортивных достижений)</w:t>
      </w:r>
    </w:p>
    <w:p w:rsidR="0091665A" w:rsidRDefault="0091665A" w:rsidP="0091665A">
      <w:pPr>
        <w:jc w:val="both"/>
      </w:pPr>
      <w:r>
        <w:tab/>
        <w:t xml:space="preserve">Доля обучающихся, охваченных </w:t>
      </w:r>
      <w:proofErr w:type="gramStart"/>
      <w:r>
        <w:t>фор-</w:t>
      </w:r>
      <w:proofErr w:type="spellStart"/>
      <w:r>
        <w:t>мами</w:t>
      </w:r>
      <w:proofErr w:type="spellEnd"/>
      <w:proofErr w:type="gramEnd"/>
      <w:r>
        <w:t xml:space="preserve"> развития достижений школьников в творческой сфере (из перечня олимпиад и иных творческих конкурсов, мероприятий, направленных на развитие творческих способностей, интереса к творческой деятельности, а также на пропаганду творческих достижений)</w:t>
      </w:r>
    </w:p>
    <w:p w:rsidR="0091665A" w:rsidRDefault="0091665A" w:rsidP="0091665A">
      <w:pPr>
        <w:jc w:val="both"/>
      </w:pPr>
      <w:r>
        <w:t xml:space="preserve">По охвату </w:t>
      </w:r>
      <w:proofErr w:type="gramStart"/>
      <w:r>
        <w:t>обучающихся</w:t>
      </w:r>
      <w:proofErr w:type="gramEnd"/>
      <w:r>
        <w:t xml:space="preserve"> дополнительным образованием</w:t>
      </w:r>
      <w:r>
        <w:tab/>
        <w:t>Доля обучающихся, охваченных программами дополнительного образования</w:t>
      </w:r>
    </w:p>
    <w:p w:rsidR="0091665A" w:rsidRDefault="0091665A" w:rsidP="0091665A">
      <w:pPr>
        <w:jc w:val="both"/>
      </w:pPr>
      <w:r>
        <w:tab/>
        <w:t>Охват обучающихся дополнительным образованием с использованием дистанционных технологий и электронного обучения</w:t>
      </w:r>
    </w:p>
    <w:p w:rsidR="0091665A" w:rsidRDefault="0091665A" w:rsidP="0091665A">
      <w:pPr>
        <w:jc w:val="both"/>
      </w:pPr>
      <w:r>
        <w:tab/>
        <w:t xml:space="preserve">Численность </w:t>
      </w:r>
      <w:proofErr w:type="gramStart"/>
      <w:r>
        <w:t>обучающихся</w:t>
      </w:r>
      <w:proofErr w:type="gramEnd"/>
      <w:r>
        <w:t>, посещающих организации дополнительного образования:</w:t>
      </w:r>
    </w:p>
    <w:p w:rsidR="0091665A" w:rsidRDefault="0091665A" w:rsidP="0091665A">
      <w:pPr>
        <w:jc w:val="both"/>
      </w:pPr>
      <w:r>
        <w:t>- по отрасли «Образование»</w:t>
      </w:r>
    </w:p>
    <w:p w:rsidR="0091665A" w:rsidRDefault="0091665A" w:rsidP="0091665A">
      <w:pPr>
        <w:jc w:val="both"/>
      </w:pPr>
      <w:r>
        <w:t>- по отрасли «Культура»</w:t>
      </w:r>
    </w:p>
    <w:p w:rsidR="0091665A" w:rsidRDefault="0091665A" w:rsidP="0091665A">
      <w:pPr>
        <w:jc w:val="both"/>
      </w:pPr>
      <w:r>
        <w:t>- по отрасли «Спорт»</w:t>
      </w:r>
    </w:p>
    <w:p w:rsidR="0091665A" w:rsidRDefault="0091665A" w:rsidP="0091665A">
      <w:pPr>
        <w:jc w:val="both"/>
      </w:pPr>
      <w:r>
        <w:t xml:space="preserve">По учету </w:t>
      </w:r>
      <w:proofErr w:type="gramStart"/>
      <w:r>
        <w:t>обучающихся</w:t>
      </w:r>
      <w:proofErr w:type="gramEnd"/>
      <w:r>
        <w:t xml:space="preserve"> по индивидуальным учебным планам</w:t>
      </w:r>
      <w:r>
        <w:tab/>
        <w:t>Доля обучающихся по индивидуальным учебным планам</w:t>
      </w:r>
    </w:p>
    <w:p w:rsidR="0091665A" w:rsidRDefault="0091665A" w:rsidP="0091665A">
      <w:pPr>
        <w:jc w:val="both"/>
      </w:pPr>
      <w:proofErr w:type="gramStart"/>
      <w:r>
        <w:lastRenderedPageBreak/>
        <w:t>По развитию способностей у обучающихся в классах с углубленным изучением отдельных предметов, профильных (</w:t>
      </w:r>
      <w:proofErr w:type="spellStart"/>
      <w:r>
        <w:t>предпрофильных</w:t>
      </w:r>
      <w:proofErr w:type="spellEnd"/>
      <w:r>
        <w:t>) классах</w:t>
      </w:r>
      <w:r>
        <w:tab/>
        <w:t>Доля обучающихся профильных классов, набравших по профильным предметам высокие баллы при прохождении ЕГЭ</w:t>
      </w:r>
      <w:proofErr w:type="gramEnd"/>
    </w:p>
    <w:p w:rsidR="0091665A" w:rsidRDefault="0091665A" w:rsidP="0091665A">
      <w:pPr>
        <w:jc w:val="both"/>
      </w:pPr>
      <w:r>
        <w:tab/>
        <w:t>Доля победителей и призеров муниципального этапа Всероссийской олимпиады школьников из числа обучающихся в профильных классах/классах с углубленным изучением отдельных предметов</w:t>
      </w:r>
    </w:p>
    <w:p w:rsidR="0091665A" w:rsidRDefault="0091665A" w:rsidP="0091665A">
      <w:pPr>
        <w:jc w:val="both"/>
      </w:pPr>
      <w:r>
        <w:tab/>
        <w:t>Доля победителей и призеров регионального этапа Всероссийской олимпиады школьников из числа обучающихся в про-</w:t>
      </w:r>
      <w:proofErr w:type="spellStart"/>
      <w:r>
        <w:t>фильных</w:t>
      </w:r>
      <w:proofErr w:type="spellEnd"/>
      <w:r>
        <w:t xml:space="preserve"> классах/классах с </w:t>
      </w:r>
      <w:proofErr w:type="gramStart"/>
      <w:r>
        <w:t>углубленным</w:t>
      </w:r>
      <w:proofErr w:type="gramEnd"/>
      <w:r>
        <w:t xml:space="preserve"> </w:t>
      </w:r>
      <w:proofErr w:type="spellStart"/>
      <w:r>
        <w:t>изу-чением</w:t>
      </w:r>
      <w:proofErr w:type="spellEnd"/>
      <w:r>
        <w:t xml:space="preserve"> отдельных предметов</w:t>
      </w:r>
    </w:p>
    <w:p w:rsidR="0091665A" w:rsidRDefault="0091665A" w:rsidP="0091665A">
      <w:pPr>
        <w:jc w:val="both"/>
      </w:pPr>
      <w:proofErr w:type="gramStart"/>
      <w:r>
        <w:t>По учету педагогических работников, повысивших уровень профессиональных компетенций в области выявления, поддержки и развития способностей и талантов у детей и молодежи</w:t>
      </w:r>
      <w:r>
        <w:tab/>
        <w:t>Доля педагогических работников, прошедших подготовку по вопросам выявления, поддержки, развития способностей и талантов у детей и молодежи/повысивших уровень профессиональных компетенций в области выявления, поддержки и развития способностей и талантов у детей и молодежи</w:t>
      </w:r>
      <w:proofErr w:type="gramEnd"/>
    </w:p>
    <w:p w:rsidR="0091665A" w:rsidRDefault="0091665A" w:rsidP="0091665A">
      <w:pPr>
        <w:jc w:val="both"/>
      </w:pPr>
      <w:r>
        <w:t>По осуществлению психолого-педагогического сопровождения способных и талантливых детей и молодежи</w:t>
      </w:r>
      <w:r>
        <w:tab/>
        <w:t>Доля педагогических работников, имеющих подготовку по вопросам психологии одаренности</w:t>
      </w:r>
    </w:p>
    <w:p w:rsidR="0091665A" w:rsidRDefault="0091665A" w:rsidP="0091665A">
      <w:pPr>
        <w:jc w:val="both"/>
      </w:pPr>
      <w:r>
        <w:tab/>
        <w:t>Число педагогов-психологов, использующих психодиагностический инструментарий для выявления одаренности у детей</w:t>
      </w:r>
    </w:p>
    <w:p w:rsidR="0091665A" w:rsidRDefault="0091665A" w:rsidP="0091665A">
      <w:pPr>
        <w:jc w:val="both"/>
      </w:pPr>
      <w:r>
        <w:tab/>
        <w:t>Доля способных и талантливых детей, охваченных психолого-педагогическим сопровождением</w:t>
      </w:r>
    </w:p>
    <w:p w:rsidR="0091665A" w:rsidRDefault="0091665A" w:rsidP="0091665A">
      <w:pPr>
        <w:jc w:val="both"/>
      </w:pPr>
      <w:r>
        <w:t>Методы сбора и обработки информации</w:t>
      </w:r>
    </w:p>
    <w:p w:rsidR="0091665A" w:rsidRDefault="0091665A" w:rsidP="0091665A">
      <w:pPr>
        <w:jc w:val="both"/>
      </w:pPr>
      <w:r>
        <w:t>Источниками подтверждения показателей являются открытые данные федеральных статистических наблюдений форм ФСН № ОО-1, № ОО-2, результатов, полученных в ходе собеседования с директорами образовательных учреждений Ульчского муниципального района, региональных мониторинговых исследований, результатов самообследования образовательных организаций, экспертизы документов по оценке качества общеобразовательных организаций, данные дорожных карт мероприятий по реализации (муниципальных, краевых, муниципальных) проектов.</w:t>
      </w:r>
    </w:p>
    <w:p w:rsidR="0091665A" w:rsidRDefault="0091665A" w:rsidP="0091665A">
      <w:pPr>
        <w:jc w:val="both"/>
      </w:pPr>
      <w:r>
        <w:t>Мониторинг показателей</w:t>
      </w:r>
    </w:p>
    <w:p w:rsidR="0091665A" w:rsidRDefault="0091665A" w:rsidP="0091665A">
      <w:pPr>
        <w:jc w:val="both"/>
      </w:pPr>
      <w:r>
        <w:t>Мониторинг показателей проводится два раза в год: в июле и декабре.</w:t>
      </w:r>
    </w:p>
    <w:p w:rsidR="0091665A" w:rsidRDefault="0091665A" w:rsidP="0091665A">
      <w:pPr>
        <w:jc w:val="both"/>
      </w:pPr>
      <w:r>
        <w:t xml:space="preserve">В целях проведения мониторинга издается отдельный приказ комитета по образованию, где утверждаются конкретные сроки проведения мониторинга, участники и ответственные за проведение мониторинга.  </w:t>
      </w:r>
    </w:p>
    <w:p w:rsidR="0091665A" w:rsidRDefault="0091665A" w:rsidP="0091665A">
      <w:pPr>
        <w:jc w:val="both"/>
      </w:pPr>
      <w:r>
        <w:t xml:space="preserve">На основании проведенного мониторинга проводится анализ результатов мониторинга на заседании рабочей группы в срок не </w:t>
      </w:r>
      <w:proofErr w:type="gramStart"/>
      <w:r>
        <w:t>позднее</w:t>
      </w:r>
      <w:proofErr w:type="gramEnd"/>
      <w:r>
        <w:t xml:space="preserve"> чем 14 дней после завершения мониторинга. Анализ результатов мониторинга оформляется документом, содержащим статистические факты, факторы, влияющие на полученные результаты, выявленные дефициты и успешные практики, а также адресные рекомендации и методические материалы. Результаты мониторинга с адресными рекомендациями и методическими </w:t>
      </w:r>
      <w:r>
        <w:lastRenderedPageBreak/>
        <w:t xml:space="preserve">материалами направляются в образовательные учреждения, а также публикуются на сайте комитета по образованию. </w:t>
      </w:r>
    </w:p>
    <w:p w:rsidR="00E108E1" w:rsidRDefault="00E108E1" w:rsidP="0091665A">
      <w:pPr>
        <w:jc w:val="both"/>
      </w:pPr>
    </w:p>
    <w:sectPr w:rsidR="00E108E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59C3"/>
    <w:rsid w:val="007459C3"/>
    <w:rsid w:val="0091665A"/>
    <w:rsid w:val="00E108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1080</Words>
  <Characters>6157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комитет по образованию</Company>
  <LinksUpToDate>false</LinksUpToDate>
  <CharactersWithSpaces>7223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Криксин Роман Николаевич</dc:creator>
  <cp:keywords/>
  <dc:description/>
  <cp:lastModifiedBy>Криксин Роман Николаевич</cp:lastModifiedBy>
  <cp:revision>2</cp:revision>
  <dcterms:created xsi:type="dcterms:W3CDTF">2022-04-27T23:09:00Z</dcterms:created>
  <dcterms:modified xsi:type="dcterms:W3CDTF">2022-04-27T23:09:00Z</dcterms:modified>
</cp:coreProperties>
</file>